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16A9" w:rsidRDefault="00CE16A9">
      <w:pPr>
        <w:pStyle w:val="normal"/>
      </w:pPr>
    </w:p>
    <w:p w:rsidR="00CE16A9" w:rsidRDefault="00D57948">
      <w:pPr>
        <w:pStyle w:val="normal"/>
      </w:pPr>
      <w:r>
        <w:rPr>
          <w:rFonts w:ascii="Arial" w:eastAsia="Arial" w:hAnsi="Arial" w:cs="Arial"/>
          <w:b/>
        </w:rPr>
        <w:t>S(P)EAR review committee</w:t>
      </w:r>
      <w:r>
        <w:rPr>
          <w:rFonts w:ascii="Arial" w:eastAsia="Arial" w:hAnsi="Arial" w:cs="Arial"/>
        </w:rPr>
        <w:t>: Bronwen Shaw - Chair (UK), Jeff Szer – vice-chair (Australia), Jeremy Chapman (Australia), Mirjam Fechter (Netherlands), William Hwang (Singapore), Matti Korhonen (Finland), Willis Navarro (USA), Lydia Foeken (NL- non-voting), Brian Lindberg (USA - non-v</w:t>
      </w:r>
      <w:r>
        <w:rPr>
          <w:rFonts w:ascii="Arial" w:eastAsia="Arial" w:hAnsi="Arial" w:cs="Arial"/>
        </w:rPr>
        <w:t>oting)</w:t>
      </w:r>
    </w:p>
    <w:p w:rsidR="00CE16A9" w:rsidRDefault="00CE16A9">
      <w:pPr>
        <w:pStyle w:val="normal"/>
      </w:pPr>
    </w:p>
    <w:p w:rsidR="00CE16A9" w:rsidRDefault="00D57948">
      <w:pPr>
        <w:pStyle w:val="normal"/>
      </w:pPr>
      <w:r>
        <w:rPr>
          <w:rFonts w:ascii="Arial" w:eastAsia="Arial" w:hAnsi="Arial" w:cs="Arial"/>
        </w:rPr>
        <w:t>In 2011, 203 S(P)EARs were reported, the majority of these were reported using paper forms.</w:t>
      </w:r>
    </w:p>
    <w:p w:rsidR="00CE16A9" w:rsidRDefault="00D57948">
      <w:pPr>
        <w:pStyle w:val="normal"/>
      </w:pPr>
      <w:r>
        <w:rPr>
          <w:rFonts w:ascii="Arial" w:eastAsia="Arial" w:hAnsi="Arial" w:cs="Arial"/>
        </w:rPr>
        <w:t xml:space="preserve">Each SEAR and SPEAR was reviewed by the S(P)EAR committee and imputability was assigned, in some cases more information was first sought from the reporting </w:t>
      </w:r>
      <w:r>
        <w:rPr>
          <w:rFonts w:ascii="Arial" w:eastAsia="Arial" w:hAnsi="Arial" w:cs="Arial"/>
        </w:rPr>
        <w:t>registry. In some cases a final assignment could not be made.</w:t>
      </w:r>
    </w:p>
    <w:p w:rsidR="00CE16A9" w:rsidRDefault="00CE16A9">
      <w:pPr>
        <w:pStyle w:val="normal"/>
      </w:pPr>
    </w:p>
    <w:p w:rsidR="00CE16A9" w:rsidRDefault="00D57948">
      <w:pPr>
        <w:pStyle w:val="normal"/>
      </w:pPr>
      <w:r>
        <w:rPr>
          <w:rFonts w:ascii="Arial" w:eastAsia="Arial" w:hAnsi="Arial" w:cs="Arial"/>
        </w:rPr>
        <w:t>It was recognised that there is added value to the membership through presenting the imputability assignments and we have presented the data in that manner. S(P)EAR highlighted in red show a di</w:t>
      </w:r>
      <w:r>
        <w:rPr>
          <w:rFonts w:ascii="Arial" w:eastAsia="Arial" w:hAnsi="Arial" w:cs="Arial"/>
        </w:rPr>
        <w:t>fference in imputability assignment between the registry and the committee.</w:t>
      </w:r>
    </w:p>
    <w:p w:rsidR="00CE16A9" w:rsidRDefault="00CE16A9">
      <w:pPr>
        <w:pStyle w:val="normal"/>
      </w:pPr>
    </w:p>
    <w:p w:rsidR="00CE16A9" w:rsidRDefault="00D57948">
      <w:pPr>
        <w:pStyle w:val="normal"/>
      </w:pPr>
      <w:r>
        <w:rPr>
          <w:rFonts w:ascii="Arial" w:eastAsia="Arial" w:hAnsi="Arial" w:cs="Arial"/>
          <w:u w:val="single"/>
        </w:rPr>
        <w:t>I</w:t>
      </w:r>
      <w:r>
        <w:rPr>
          <w:rFonts w:ascii="Arial" w:eastAsia="Arial" w:hAnsi="Arial" w:cs="Arial"/>
        </w:rPr>
        <w:t>t should be remembered that for SPEAR the imputability relates to harm to the patient, not primarily to the quality or other aspects of the product (thus even if there is a defin</w:t>
      </w:r>
      <w:r>
        <w:rPr>
          <w:rFonts w:ascii="Arial" w:eastAsia="Arial" w:hAnsi="Arial" w:cs="Arial"/>
        </w:rPr>
        <w:t xml:space="preserve">ite quality issue with a product, the imputability may be ‘excluded’ if no harm came to the patient). </w:t>
      </w:r>
    </w:p>
    <w:p w:rsidR="00CE16A9" w:rsidRDefault="00CE16A9">
      <w:pPr>
        <w:pStyle w:val="normal"/>
      </w:pPr>
    </w:p>
    <w:p w:rsidR="00CE16A9" w:rsidRDefault="00D57948">
      <w:pPr>
        <w:pStyle w:val="normal"/>
      </w:pPr>
      <w:r>
        <w:rPr>
          <w:rFonts w:ascii="Arial" w:eastAsia="Arial" w:hAnsi="Arial" w:cs="Arial"/>
        </w:rPr>
        <w:t>Not assessable is often assigned in SPEAR if engraftment data is unknown</w:t>
      </w:r>
    </w:p>
    <w:p w:rsidR="00CE16A9" w:rsidRDefault="00CE16A9">
      <w:pPr>
        <w:pStyle w:val="normal"/>
      </w:pPr>
    </w:p>
    <w:p w:rsidR="00CE16A9" w:rsidRDefault="00D57948">
      <w:pPr>
        <w:pStyle w:val="normal"/>
      </w:pPr>
      <w:r>
        <w:rPr>
          <w:rFonts w:ascii="Arial" w:eastAsia="Arial" w:hAnsi="Arial" w:cs="Arial"/>
        </w:rPr>
        <w:t>In future years (since the move to an online reporting system), the timing (ea</w:t>
      </w:r>
      <w:r>
        <w:rPr>
          <w:rFonts w:ascii="Arial" w:eastAsia="Arial" w:hAnsi="Arial" w:cs="Arial"/>
        </w:rPr>
        <w:t>rly or late) of the S(P)EAR will also be reported.</w:t>
      </w:r>
    </w:p>
    <w:p w:rsidR="00CE16A9" w:rsidRDefault="00CE16A9">
      <w:pPr>
        <w:pStyle w:val="normal"/>
      </w:pPr>
    </w:p>
    <w:tbl>
      <w:tblPr>
        <w:tblStyle w:val="a"/>
        <w:tblW w:w="9606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8"/>
        <w:gridCol w:w="900"/>
        <w:gridCol w:w="4683"/>
        <w:gridCol w:w="1417"/>
        <w:gridCol w:w="1418"/>
      </w:tblGrid>
      <w:tr w:rsidR="00CE16A9">
        <w:tc>
          <w:tcPr>
            <w:tcW w:w="6771" w:type="dxa"/>
            <w:gridSpan w:val="3"/>
          </w:tcPr>
          <w:p w:rsidR="00CE16A9" w:rsidRDefault="00CE16A9">
            <w:pPr>
              <w:pStyle w:val="normal"/>
            </w:pPr>
          </w:p>
        </w:tc>
        <w:tc>
          <w:tcPr>
            <w:tcW w:w="2835" w:type="dxa"/>
            <w:gridSpan w:val="2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</w:rPr>
              <w:t>Imputability assignment</w:t>
            </w:r>
          </w:p>
        </w:tc>
      </w:tr>
      <w:tr w:rsidR="00CE16A9">
        <w:tc>
          <w:tcPr>
            <w:tcW w:w="1188" w:type="dxa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b/>
                <w:sz w:val="20"/>
              </w:rPr>
              <w:t>Year of donation</w:t>
            </w:r>
          </w:p>
        </w:tc>
        <w:tc>
          <w:tcPr>
            <w:tcW w:w="900" w:type="dxa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b/>
                <w:sz w:val="20"/>
              </w:rPr>
              <w:t>Stem cell source</w:t>
            </w:r>
          </w:p>
        </w:tc>
        <w:tc>
          <w:tcPr>
            <w:tcW w:w="4683" w:type="dxa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SEAR</w:t>
            </w:r>
          </w:p>
        </w:tc>
        <w:tc>
          <w:tcPr>
            <w:tcW w:w="1417" w:type="dxa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b/>
                <w:sz w:val="20"/>
              </w:rPr>
              <w:t>Registry</w:t>
            </w:r>
          </w:p>
        </w:tc>
        <w:tc>
          <w:tcPr>
            <w:tcW w:w="1418" w:type="dxa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b/>
                <w:sz w:val="20"/>
              </w:rPr>
              <w:t>S(P)EAR committee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Stomach cancer 8 years post donation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2002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Pain at collection site 17 months post donation. MRI showed prolapsed disc which may have occurred shortly after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2002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Haematoma at BM site required surgical removal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2003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Wrist pain with probably tendon injury from canullation. Physiotherapy required, recovered 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2003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Breast cancer 2 years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2003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Prolonged pain after marrow donation. MRI showed BM oedema (persistent on repeat MRI 3 months later - which also showed disc prolapse)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 (persistent pain)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2003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Thrombosis r forearm due to IV access. 30 day recovery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2004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Primary kidney adenocarcinoma 4 years after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2004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 xml:space="preserve">Osteomyelitis. 4 weeks of in hospital iv antibiotics </w:t>
            </w:r>
            <w:r>
              <w:rPr>
                <w:rFonts w:ascii="Arial" w:eastAsia="Arial" w:hAnsi="Arial" w:cs="Arial"/>
                <w:sz w:val="20"/>
              </w:rPr>
              <w:lastRenderedPageBreak/>
              <w:t>required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lastRenderedPageBreak/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Pain in the iliac crest for 3 months requiring physiotherapy. 1 extra day hospitalisation.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Chronic pain syndrome with damage to the right radial nerve caused by extensive haematoma from venepuncture during marrow collection. An</w:t>
            </w:r>
            <w:r>
              <w:rPr>
                <w:rFonts w:ascii="Arial" w:eastAsia="Arial" w:hAnsi="Arial" w:cs="Arial"/>
                <w:sz w:val="20"/>
              </w:rPr>
              <w:t>algesia, steroids and physiotherapy required.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Schwannoma 16 months post donation.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Low oxygen levels and respiratory symptoms in recovery room. Donor on antibiotics prior to donations. Hospitalised for 1 day.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Donor collapsed 10 hours post BM harvest. Unresponsive and no pulse felt. CPR instituted and continued for 3 minutes. Cardiac output not lost. Hb 10.6 prior to harvest and 6 post - 2 unit allogeneic blood transfusion. 2 extra days in hospital. 30 days to f</w:t>
            </w:r>
            <w:r>
              <w:rPr>
                <w:rFonts w:ascii="Arial" w:eastAsia="Arial" w:hAnsi="Arial" w:cs="Arial"/>
                <w:sz w:val="20"/>
              </w:rPr>
              <w:t>ull recovery.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Laryngospasm post extubation. Needed to be re-intubated. 2 day admission. Resolved completely.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Dysphagia after extubation, uvula elongation. Treated with steroids. 7 day recovery.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BM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Donor unwell and dropped their BP 16 hours post harvest in hospital. Needed fluid resuscitation and 1 unit of allogeneic blood (had also received 1 autologous unit)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Not assessable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DLI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Anaphylactic response to apher</w:t>
            </w:r>
            <w:r>
              <w:rPr>
                <w:rFonts w:ascii="Arial" w:eastAsia="Arial" w:hAnsi="Arial" w:cs="Arial"/>
                <w:sz w:val="20"/>
              </w:rPr>
              <w:t>esis set with bronchospasm and rhinitis. Collection successful. PBSC collection 5 months previously.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Invasive ductal carcinoma of the breast 2002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Phaeochromacytoma 5 years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Oesophageal cancer 2007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Seminoma 3.5 years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2002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T-ALL. Diagnosed in 2009. Donor has died.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2002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Hyperthyroid crisis with secondary cardiac failure at home 14 days post second apheresis. Autoimmune thyroiditis with polyneuropathy. No PMH. Second donation (first also PBSC 17 months prior)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2002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 xml:space="preserve">Joint swelling and elevated LFT 12 months post donation. Donor B*27 +. 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2002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Donor had complete alopecia 18 months after 2nd donation. Had history of alopecia areata, but this was not known at medical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2003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</w:t>
            </w:r>
            <w:r>
              <w:rPr>
                <w:rFonts w:ascii="Arial" w:eastAsia="Arial" w:hAnsi="Arial" w:cs="Arial"/>
                <w:sz w:val="20"/>
              </w:rPr>
              <w:t>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CML 8 years after donation (2 PBSC donations 4 months apart)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2003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Donor had a stroke 12 months after second donation. PMH of hypercholesterolaemia and smoking.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2004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Malignant melanoma 4 years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Not assigned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2004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Colon carcinoma 7 months post DLI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2004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Transverse myelitis 3 years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Not assigned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2005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Follicular thyroid cancer 2008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lastRenderedPageBreak/>
              <w:t>2005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Donor was unable to proceed with donation due to severe breathlessness during GCSF. No medical intervention except stopping GCSF needed. Psychological factors thought to play a role.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2005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Donor suffe</w:t>
            </w:r>
            <w:r>
              <w:rPr>
                <w:rFonts w:ascii="Arial" w:eastAsia="Arial" w:hAnsi="Arial" w:cs="Arial"/>
                <w:sz w:val="20"/>
              </w:rPr>
              <w:t>red from ITP 3 weeks after collection. Unknown what treatment given but now recovered.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2005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Hypertonus 2 months after donation, 8 months later thrombosis left eye with retinal detachment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2005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Breast cancer 1 year post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2006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Breast cancer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2006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Hashimoto's disease (TSH 204) and vitiligo within 6 months of donation. History of latent hypothyroidism (TSH 6.36)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2006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Seminoma 1 year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2006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Paroxysmal AF 13 days post collection, required cardioversion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2006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Donor diagnosed with hypothyroidism 5 years post donation. TC informed. Patient was diagnosed 1 year post transplant with hypothyroidism. Both patient and donor controlled on replacement therapy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Unlikely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2006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Fatal PE 4 years post donation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2007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Metastatic colon cancer 2009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2007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Colorectal carcinoma 40/12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2007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 xml:space="preserve">ITP requiring steroids 3 years after donation 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2007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MS 3 years post second PBSC collection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2007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AML diagnosed 2011 - death due to AML (3 days post diagnosis)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2007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Neutropaenia 1 year post donation. No clinical effects. BM biopsy performed.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2007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Rheumatoid arthritis several years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2007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Lung carcinoma 07/2011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2007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Bilateral ovarian carcinoma 44 months post donation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2008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Atypical athropathia psoriatica requiring methotrexate, but long history of psoriasis vulgaris (12 months post)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2008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 xml:space="preserve">MI (1 year post donation). Dilated cardiomyopathy 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2008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Crohns disease 17 months post PBSC (had donated BM ~3 years prior)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Hodgkin lymphoma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Erythema of legs after 3rd GCSF injection. Inpatient treatment, topical steroids. Cells collected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Allergic urticaria and itching hives during GCSF injections. Continued for 6 months - requiring steroids post collection. History of allergic reaction to eye drops.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 xml:space="preserve">Cerebral infarction, basilar artery haemorrhage. 3 months post collection 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lastRenderedPageBreak/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Crohn's disease 2 years post collection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Acute sarcoidosis diagnosed 14 days post collection. Resolved after 3 month</w:t>
            </w:r>
            <w:r>
              <w:rPr>
                <w:rFonts w:ascii="Arial" w:eastAsia="Arial" w:hAnsi="Arial" w:cs="Arial"/>
                <w:sz w:val="20"/>
              </w:rPr>
              <w:t>s.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Oesophageal cancer 2 years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Gastric malt lymphoma 11 months post PBSC (second donation - first PBSC 38 days prior). Required only helicobacter eradication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Auto-immune hypothyroidism 2 months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MGUS diagnosed 2011 (at request for DLI)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Auto-immune inflammatory polyarthritis 1 year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Unlikely 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Thyroid cancer 2 years post donation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Elevated liver enzymes during GCSF. Normalised 30 days after donation.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Left sided palsy and convulsions 1 month post donation. Brain surgery - histopathology inconclusive, haemorrhage of unknown origin.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Severe headache requiring imigran and hospital admission at home (3 days after apheresis). CT h</w:t>
            </w:r>
            <w:r>
              <w:rPr>
                <w:rFonts w:ascii="Arial" w:eastAsia="Arial" w:hAnsi="Arial" w:cs="Arial"/>
                <w:sz w:val="20"/>
              </w:rPr>
              <w:t>ead normal. Donation as planned.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Acute pyogenic necrotising and haemorrhagic enteritis requiring surgery. Occurred 3 days post apheresis. treating physician thought a link to filgastrim possible.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Ovarian cancer. Reported 7 months after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Pulpitis sicca (atopic dermatitis) both hands 20 days post collection - no previous history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Ankylosing spondylitis diagnosed 10 months post donation. (B27 neg). Back pain and arthralgia prior to donation.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Wegener’s granulomatous. 3 months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Multiple liver haemangiomas a</w:t>
            </w:r>
            <w:r>
              <w:rPr>
                <w:rFonts w:ascii="Arial" w:eastAsia="Arial" w:hAnsi="Arial" w:cs="Arial"/>
                <w:color w:val="FF0000"/>
                <w:sz w:val="20"/>
              </w:rPr>
              <w:t>nd elevated LFT 6 months post donation. At work up there were no liver abnormalities (normal ultrasound)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 quervains thyroiditis 3 months post PBSC - having treatment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Left retinal detachment 5 months post PBSC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Ulcerative colitis 5 weeks after PBSC, acute gastroenteritis 1 week prior to donation on holiday.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Classical Hodgkin disease stage 1A 6 months post PBSC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Fibromyalgia 6 months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Diffuse alopecia 2-3 months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Ulcerative colitis 4 months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Disabling hip pain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Balanced reciprocal translocation (discovered in patient post transplant). Increased miscarriage rate - donor needed genetic counselling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Breast cancer 11 months post donation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lastRenderedPageBreak/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Hypertension and tiredness after donation (PMH hypertension)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After first dose of GCSF donor collapsed. Recovered without intervention. Mobilisation and harvest continued.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Otitis media, pneumonia and renal insufficiency 2 days after donation. 16 days inpatient. Not fully returned to work.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Macroscopic haematuria on the fourth day of mobilization. Donor had ultrasound and CT examination on the day of collection – 13 mm benign cyst found in cortical area of the kidney. </w:t>
            </w:r>
            <w:r>
              <w:rPr>
                <w:rFonts w:ascii="Arial" w:eastAsia="Arial" w:hAnsi="Arial" w:cs="Arial"/>
                <w:color w:val="FF0000"/>
                <w:sz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Donor was checked by nephrologist and urologist. Preliminary finding: aseptic cystitis. 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Thrombophlebitis right forearm from peripheral line. Required short term heparin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Herpes zoster diagnosed during second apheresis procedure. 14 days of aciclovir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Trigeminal neuralgia 21 days post DLI (unstimulated) collection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 xml:space="preserve">Unable to collect via peripheral veins. Unable to insert CVC in right Femoral vein. Femoral artery punctured - pain and ?aneurysm. Compression for 24 hours required. 2 days hospitalisation. Resolved. 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Acute gouty arthritis of left ankle on D3 of GCSF. Analgesia required resolved in 4 days. PMH hypertension and obesity (BMI 36)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Definitely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 xml:space="preserve">3 hours after 2nd GCSF injection donor experienced mild dysphagia. Same dysphagia recurred 5 days after collection due to 'stress'. 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Nerve damage from peripheral line with pain and paraesthesia back of the hand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</w:t>
            </w:r>
            <w:r>
              <w:rPr>
                <w:rFonts w:ascii="Arial" w:eastAsia="Arial" w:hAnsi="Arial" w:cs="Arial"/>
                <w:sz w:val="20"/>
              </w:rPr>
              <w:t>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Admitted 48 hours after 2nd collection with fever, abdominal pain and distention, constipation, bone pain. Symptomatic treatment and 7 day inpatient admission. Fully resolved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Near syncope after discharge home. 1litre iv fluid given (at home) full recovery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25cm haematoma on donor arm 5 days post apheresis. Painful but not swollen, resolved spontaneously after 1 week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Tachycardia during PBSC injections (160-180). Resolved with beta-blockers. History of palpitations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During a pause in the first apheresis the donor went to the toilet, collapsed and was noted to have 'spasms' ?vaso-vagal associa</w:t>
            </w:r>
            <w:r>
              <w:rPr>
                <w:rFonts w:ascii="Arial" w:eastAsia="Arial" w:hAnsi="Arial" w:cs="Arial"/>
                <w:sz w:val="20"/>
              </w:rPr>
              <w:t xml:space="preserve">ted convulsion. Full recovery. 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Incomplete lesion of radialis nerve from venepuncture. 200 days to recovery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Urticaria and allergic asthma 5 months post </w:t>
            </w:r>
            <w:r>
              <w:rPr>
                <w:rFonts w:ascii="Arial" w:eastAsia="Arial" w:hAnsi="Arial" w:cs="Arial"/>
                <w:color w:val="FF0000"/>
                <w:sz w:val="20"/>
              </w:rPr>
              <w:lastRenderedPageBreak/>
              <w:t>donation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lastRenderedPageBreak/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lastRenderedPageBreak/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Herpes zoster at home after apheresis completed. Iv aciclovir 6 days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Acute tonsillar bleeding day 2 of GCSF. No treatment. Recovered. Collection went ahead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Painful calf spasm D3 of GCSF. Admitted and thrombosis excluded. Resolved with pain killers.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Acute heart insufficiency/ failure (ejection fraction 15 %) due to viral myocarditis, secondary to parvovirus B19 (positive in blood s</w:t>
            </w:r>
            <w:r>
              <w:rPr>
                <w:rFonts w:ascii="Arial" w:eastAsia="Arial" w:hAnsi="Arial" w:cs="Arial"/>
                <w:color w:val="FF0000"/>
                <w:sz w:val="20"/>
              </w:rPr>
              <w:t>ample). 12 days post donation.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Unlikely 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unknown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Melanoma 5 months post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Intracranial haematoma 10 days post apheresis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MS I year after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Thrombophlebitis from both peripheral lines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2008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MS 11 months after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Donor death from complications of CVC insertion</w:t>
            </w:r>
          </w:p>
        </w:tc>
        <w:tc>
          <w:tcPr>
            <w:tcW w:w="1417" w:type="dxa"/>
            <w:vAlign w:val="bottom"/>
          </w:tcPr>
          <w:p w:rsidR="00CE16A9" w:rsidRDefault="00CE16A9">
            <w:pPr>
              <w:pStyle w:val="normal"/>
              <w:jc w:val="center"/>
            </w:pP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1996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Ovarian carcinoma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  <w:p w:rsidR="00CE16A9" w:rsidRDefault="00CE16A9">
            <w:pPr>
              <w:pStyle w:val="normal"/>
              <w:jc w:val="center"/>
            </w:pP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1997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CLL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  <w:p w:rsidR="00CE16A9" w:rsidRDefault="00CE16A9">
            <w:pPr>
              <w:pStyle w:val="normal"/>
              <w:jc w:val="center"/>
            </w:pP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2006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Melanoma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  <w:p w:rsidR="00CE16A9" w:rsidRDefault="00CE16A9">
            <w:pPr>
              <w:pStyle w:val="normal"/>
              <w:jc w:val="center"/>
            </w:pP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Cardiac arrythmia 6 weeks post donation. Not present at pre-donation medical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Unlikely</w:t>
            </w:r>
          </w:p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/possible</w:t>
            </w:r>
          </w:p>
        </w:tc>
      </w:tr>
      <w:tr w:rsidR="00CE16A9">
        <w:trPr>
          <w:trHeight w:val="300"/>
        </w:trPr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Osteomyelitis sacrum, still recovering (pain)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  <w:p w:rsidR="00CE16A9" w:rsidRDefault="00CE16A9">
            <w:pPr>
              <w:pStyle w:val="normal"/>
              <w:jc w:val="center"/>
            </w:pP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Prolonged orthostatic dysregulation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Definitely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Thrombophlebitis from the peripheral venous line. Aggravated by subsequent GCSF mobilised pbscx2 within next 4 months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Symptomatic anaemia following harvest requiring allogeneic blood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2006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Multiple sclerosis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  <w:p w:rsidR="00CE16A9" w:rsidRDefault="00CE16A9">
            <w:pPr>
              <w:pStyle w:val="normal"/>
              <w:jc w:val="center"/>
            </w:pP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2006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Renal cell carcinoma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  <w:p w:rsidR="00CE16A9" w:rsidRDefault="00CE16A9">
            <w:pPr>
              <w:pStyle w:val="normal"/>
              <w:jc w:val="center"/>
            </w:pP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2007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Rheumatoid arthritis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Unlikely</w:t>
            </w:r>
          </w:p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/possible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2008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Breast cancer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  <w:p w:rsidR="00CE16A9" w:rsidRDefault="00CE16A9">
            <w:pPr>
              <w:pStyle w:val="normal"/>
              <w:jc w:val="center"/>
            </w:pP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Giant cell tumour left radius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  <w:p w:rsidR="00CE16A9" w:rsidRDefault="00CE16A9">
            <w:pPr>
              <w:pStyle w:val="normal"/>
              <w:jc w:val="center"/>
            </w:pP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Breast cancer 2010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  <w:p w:rsidR="00CE16A9" w:rsidRDefault="00CE16A9">
            <w:pPr>
              <w:pStyle w:val="normal"/>
              <w:jc w:val="center"/>
            </w:pP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Testicular cancer 2010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  <w:p w:rsidR="00CE16A9" w:rsidRDefault="00CE16A9">
            <w:pPr>
              <w:pStyle w:val="normal"/>
              <w:jc w:val="center"/>
            </w:pP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ALL (father died from 'leukaemia’)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Thrombophlebitis from the apheresis line. Antibiotics required. 50 day recovery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lastRenderedPageBreak/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Chronic keratitis &gt; 6 months. Topical therapy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Ulcerative colitis developed 2 months post donation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2009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Rheumatoid arthritis 6/12 post donation (positive family history)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Abnormal liver function tests. Abdominal pain. No cause found. Ultrasound normal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Chest tightness during collection. All tests normal. Completely resolved.  Collection stopped early but requested cell number collected.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Hospital admission due to severe pre donation pain. Recovered in 2 days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 terminated after 3 attempts due to severe citrate toxicity/hypocalcaemia. Donor donated BM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Tetany on machine. Resolved, collection complete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Breast cancer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Breast cancer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Abdominal pain during 2nd apheresis - normal ultrasound. 5 hours later at home had more pain, admitted, probable cholecystitis. 3 day admission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D2 of GCSF intractable vomiting. Hospitalised. Collection went ahead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MI 4 weeks after donation (obese BMI30, high BP, smoker)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Unlikely</w:t>
            </w:r>
          </w:p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>/possible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Pilonidal sinus 6 weeks post donation. Surgery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Uveitis anterior R eye (3 days after collection)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Epididymitis L testis, urethritis. During GCSF injections. Antibiotics, resolved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Testicular cancer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Breast cancer 8 months post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Unable to obtain successful peripheral access for apheresis. Donor refused central access on day 2. No collection possible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</w:tbl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tbl>
      <w:tblPr>
        <w:tblStyle w:val="a0"/>
        <w:tblW w:w="9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8"/>
        <w:gridCol w:w="900"/>
        <w:gridCol w:w="3780"/>
        <w:gridCol w:w="903"/>
        <w:gridCol w:w="1417"/>
        <w:gridCol w:w="1418"/>
      </w:tblGrid>
      <w:tr w:rsidR="00CE16A9">
        <w:tc>
          <w:tcPr>
            <w:tcW w:w="5868" w:type="dxa"/>
            <w:gridSpan w:val="3"/>
          </w:tcPr>
          <w:p w:rsidR="00CE16A9" w:rsidRDefault="00CE16A9">
            <w:pPr>
              <w:pStyle w:val="normal"/>
            </w:pPr>
          </w:p>
        </w:tc>
        <w:tc>
          <w:tcPr>
            <w:tcW w:w="3738" w:type="dxa"/>
            <w:gridSpan w:val="3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b/>
                <w:sz w:val="20"/>
              </w:rPr>
              <w:t>Imputability assignment</w:t>
            </w:r>
          </w:p>
        </w:tc>
      </w:tr>
      <w:tr w:rsidR="00CE16A9">
        <w:tc>
          <w:tcPr>
            <w:tcW w:w="1188" w:type="dxa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Year of donation</w:t>
            </w:r>
          </w:p>
        </w:tc>
        <w:tc>
          <w:tcPr>
            <w:tcW w:w="900" w:type="dxa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Stem cell source</w:t>
            </w:r>
          </w:p>
        </w:tc>
        <w:tc>
          <w:tcPr>
            <w:tcW w:w="4683" w:type="dxa"/>
            <w:gridSpan w:val="2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SPEAR</w:t>
            </w:r>
          </w:p>
        </w:tc>
        <w:tc>
          <w:tcPr>
            <w:tcW w:w="1417" w:type="dxa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Registry</w:t>
            </w:r>
          </w:p>
        </w:tc>
        <w:tc>
          <w:tcPr>
            <w:tcW w:w="1418" w:type="dxa"/>
          </w:tcPr>
          <w:p w:rsidR="00CE16A9" w:rsidRDefault="00D57948">
            <w:pPr>
              <w:pStyle w:val="normal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S(P)EAR committee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BM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Donor centre expressed reservations about clearing the donor due to recent medical problems </w:t>
            </w:r>
            <w:r>
              <w:rPr>
                <w:rFonts w:ascii="Arial" w:eastAsia="Arial" w:hAnsi="Arial" w:cs="Arial"/>
                <w:color w:val="FF0000"/>
                <w:sz w:val="20"/>
              </w:rPr>
              <w:lastRenderedPageBreak/>
              <w:t>(not fully investigated). They did however clear the donor, but then withdrew the donor a few days later after conditioning had already been started. There is no b</w:t>
            </w:r>
            <w:r>
              <w:rPr>
                <w:rFonts w:ascii="Arial" w:eastAsia="Arial" w:hAnsi="Arial" w:cs="Arial"/>
                <w:color w:val="FF0000"/>
                <w:sz w:val="20"/>
              </w:rPr>
              <w:t>ack up donor and a new search was underway. Transplant cancelled.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lastRenderedPageBreak/>
              <w:t>Not assessable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 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lastRenderedPageBreak/>
              <w:t>2003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Cord arrived thawed. The cord appears to have been infused. Not yet know whether the patient engrafted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assessable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Dry shipped X-rayed at airport. Transplant delayed due to patient factors therefore product not used yet.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Damage to the overbag, but internal bag undamaged and product uncompromised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Leak between compartments. Used without problems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Leak in the sealing line. No clinical impact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Poor viability on thawing. Used as part of a double cord procedure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bookmarkStart w:id="0" w:name="h.gjdgxs" w:colFirst="0" w:colLast="0"/>
            <w:bookmarkEnd w:id="0"/>
            <w:r>
              <w:rPr>
                <w:rFonts w:ascii="Arial" w:eastAsia="Arial" w:hAnsi="Arial" w:cs="Arial"/>
                <w:sz w:val="20"/>
              </w:rPr>
              <w:t>Thawed unit on arrival - sent back to CBB. No other unit available and a donor search was reinitiated. The event was thought to be due to bad handling of the dry-shipper in transit. The dry shipper was in good condition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unknown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Clogg</w:t>
            </w:r>
            <w:r>
              <w:rPr>
                <w:rFonts w:ascii="Arial" w:eastAsia="Arial" w:hAnsi="Arial" w:cs="Arial"/>
                <w:color w:val="FF0000"/>
                <w:sz w:val="20"/>
              </w:rPr>
              <w:t>ed and thick cord blood once thawed, new line required, time lost. Engraftment not yet known.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Probably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DLI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Product X- rayed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Fever following infusion. Bacillus isolated from patient. No pathogens isolated from product. Patient engrafted and well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Not assigned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 Unlikely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 TRALI. Full recovery in patient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Acute respiratory failure 2 hours after infusion - ?TRALI. Patient death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>Not assessable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Possible 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Xrayed product. Patient engrafted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Fracture in cord blood bag. No product lost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Hepatitis B developing in the donor after donation (test negative prior). Patient also became positive for Hepatitis B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bookmarkStart w:id="1" w:name="h.30j0zll" w:colFirst="0" w:colLast="0"/>
            <w:bookmarkEnd w:id="1"/>
            <w:r>
              <w:rPr>
                <w:rFonts w:ascii="Arial" w:eastAsia="Arial" w:hAnsi="Arial" w:cs="Arial"/>
                <w:sz w:val="20"/>
              </w:rPr>
              <w:t>Bacillus cereus isolated from product (patient became unwell, but bacillus not isolated)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</w:t>
            </w: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bookmarkStart w:id="2" w:name="h.1fob9te" w:colFirst="0" w:colLast="0"/>
            <w:bookmarkEnd w:id="2"/>
            <w:r>
              <w:rPr>
                <w:rFonts w:ascii="Arial" w:eastAsia="Arial" w:hAnsi="Arial" w:cs="Arial"/>
                <w:sz w:val="20"/>
              </w:rPr>
              <w:t>Delay in transfer of product due to weather conditions. Viability 37%. Patient did not engraft.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? TRALI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2005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Donor derived myeloproliferative disorder 5 years post transplant (original transplant for AML)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Cord unit arrived thawed. Was not used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given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Positive culture in CBU at TC but not at CBB. Patient well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2004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Donor transmitted CLL. Patient developed CLL 4 years following transplant for ALL. CLL clone found in donor pre-donation sample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lastRenderedPageBreak/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bookmarkStart w:id="3" w:name="h.3znysh7" w:colFirst="0" w:colLast="0"/>
            <w:bookmarkEnd w:id="3"/>
            <w:r>
              <w:rPr>
                <w:rFonts w:ascii="Arial" w:eastAsia="Arial" w:hAnsi="Arial" w:cs="Arial"/>
                <w:sz w:val="20"/>
              </w:rPr>
              <w:t>CBU infused with the washing solution. Renal failure developed, but improved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Positive bacterial culture in the harvest. Patient died of multiorgan failure, but the same pathogen was not isolated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Discrepancy in pre and post thaw viability. Patient engrafted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given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Blood group incorrect. No clinical harm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given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 bag breached. Product recovered and infused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Poor yield at thaw. Patient engrafted.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Discrepancy in pre and post thaw viability. Patient engrafted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given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PRES diagnosed post infusion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Donor failed to mobilise. 0.73x106/kg infused. Patient engrafted.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given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unknown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 arrived thawed. Not infused, but a replacement unit sent the following day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given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bookmarkStart w:id="4" w:name="h.2et92p0" w:colFirst="0" w:colLast="0"/>
            <w:bookmarkEnd w:id="4"/>
            <w:r>
              <w:rPr>
                <w:rFonts w:ascii="Arial" w:eastAsia="Arial" w:hAnsi="Arial" w:cs="Arial"/>
                <w:sz w:val="20"/>
              </w:rPr>
              <w:t>Haemolysis of product which could not be used. Replacement CBU the following day.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DLI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Could not collect DLI so patient received a unit of whole blood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given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Clots in the product. No harm to patient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giv</w:t>
            </w:r>
            <w:r>
              <w:rPr>
                <w:rFonts w:ascii="Arial" w:eastAsia="Arial" w:hAnsi="Arial" w:cs="Arial"/>
                <w:sz w:val="20"/>
              </w:rPr>
              <w:t>en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center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Both units arrived thawed</w:t>
            </w:r>
          </w:p>
        </w:tc>
        <w:tc>
          <w:tcPr>
            <w:tcW w:w="1417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2008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BM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Incorrect recipient name on product label, other identifiers correct. Cells used for correct patient.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Alarm of data logger flashing when cord received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stated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 xml:space="preserve">TC says that the aliquots were separate from the unit, CBB says they were attached. 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stated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Excluded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Bag compromised on arrival - not used for transplant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stated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Unit was received thawed due to incorrect handling by courier - not used for transplant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stated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bookmarkStart w:id="5" w:name="h.tyjcwt" w:colFirst="0" w:colLast="0"/>
            <w:bookmarkEnd w:id="5"/>
            <w:r>
              <w:rPr>
                <w:rFonts w:ascii="Arial" w:eastAsia="Arial" w:hAnsi="Arial" w:cs="Arial"/>
                <w:sz w:val="20"/>
              </w:rPr>
              <w:t>Double cord unit 'shocked heart'  reaction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2010 (date infusion)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bookmarkStart w:id="6" w:name="h.3dy6vkm" w:colFirst="0" w:colLast="0"/>
            <w:bookmarkEnd w:id="6"/>
            <w:r>
              <w:rPr>
                <w:rFonts w:ascii="Arial" w:eastAsia="Arial" w:hAnsi="Arial" w:cs="Arial"/>
                <w:sz w:val="20"/>
              </w:rPr>
              <w:t>CBU exploded in the water bath - unit completely lost. 2nd unit was transfused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2010?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bookmarkStart w:id="7" w:name="h.1t3h5sf" w:colFirst="0" w:colLast="0"/>
            <w:bookmarkEnd w:id="7"/>
            <w:r>
              <w:rPr>
                <w:rFonts w:ascii="Arial" w:eastAsia="Arial" w:hAnsi="Arial" w:cs="Arial"/>
                <w:sz w:val="20"/>
              </w:rPr>
              <w:t>Low viability and post-thaw TNC compared to reported. Non engraftment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Unknown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Low viability and no CFU post transportation. Unit not used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related to transport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Unknown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CBU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bookmarkStart w:id="8" w:name="h.4d34og8" w:colFirst="0" w:colLast="0"/>
            <w:bookmarkEnd w:id="8"/>
            <w:r>
              <w:rPr>
                <w:rFonts w:ascii="Arial" w:eastAsia="Arial" w:hAnsi="Arial" w:cs="Arial"/>
                <w:sz w:val="20"/>
              </w:rPr>
              <w:t>Temperature problems during transportation - shipper most likely mishandled. Unit not used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 related to transport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Not assessable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bookmarkStart w:id="9" w:name="h.2s8eyo1" w:colFirst="0" w:colLast="0"/>
            <w:bookmarkEnd w:id="9"/>
            <w:r>
              <w:rPr>
                <w:rFonts w:ascii="Arial" w:eastAsia="Arial" w:hAnsi="Arial" w:cs="Arial"/>
                <w:sz w:val="20"/>
              </w:rPr>
              <w:t>Donor chromosomal abnormality (XXY) noted on chimerism monitoring.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bookmarkStart w:id="10" w:name="h.17dp8vu" w:colFirst="0" w:colLast="0"/>
            <w:bookmarkEnd w:id="10"/>
            <w:r>
              <w:rPr>
                <w:rFonts w:ascii="Arial" w:eastAsia="Arial" w:hAnsi="Arial" w:cs="Arial"/>
                <w:sz w:val="20"/>
              </w:rPr>
              <w:t>Harvest centre performed only 1 day collection despite achieving only 1/4 of the requested cell dose. TC and hub not informed. Donor required a BM harvest later. Pro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bookmarkStart w:id="11" w:name="h.3rdcrjn" w:colFirst="0" w:colLast="0"/>
            <w:bookmarkEnd w:id="11"/>
            <w:r>
              <w:rPr>
                <w:rFonts w:ascii="Arial" w:eastAsia="Arial" w:hAnsi="Arial" w:cs="Arial"/>
                <w:sz w:val="20"/>
              </w:rPr>
              <w:t xml:space="preserve">Harvest cryopreserved at harvesting centre. Clots </w:t>
            </w:r>
            <w:r>
              <w:rPr>
                <w:rFonts w:ascii="Arial" w:eastAsia="Arial" w:hAnsi="Arial" w:cs="Arial"/>
                <w:sz w:val="20"/>
              </w:rPr>
              <w:lastRenderedPageBreak/>
              <w:t>in bag. Arr</w:t>
            </w:r>
            <w:r>
              <w:rPr>
                <w:rFonts w:ascii="Arial" w:eastAsia="Arial" w:hAnsi="Arial" w:cs="Arial"/>
                <w:sz w:val="20"/>
              </w:rPr>
              <w:t>ived with very low cell counts. Patient failed to engraft. Death occurred contributed to by graft failure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lastRenderedPageBreak/>
              <w:t>Probably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Probable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lastRenderedPageBreak/>
              <w:t>2010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 TRALI with ITU admission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Possibly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Possible</w:t>
            </w:r>
          </w:p>
        </w:tc>
      </w:tr>
      <w:tr w:rsidR="00CE16A9">
        <w:tc>
          <w:tcPr>
            <w:tcW w:w="1188" w:type="dxa"/>
            <w:vAlign w:val="bottom"/>
          </w:tcPr>
          <w:p w:rsidR="00CE16A9" w:rsidRDefault="00D57948">
            <w:pPr>
              <w:pStyle w:val="normal"/>
              <w:jc w:val="right"/>
            </w:pPr>
            <w:r>
              <w:rPr>
                <w:rFonts w:ascii="Arial" w:eastAsia="Arial" w:hAnsi="Arial" w:cs="Arial"/>
                <w:sz w:val="20"/>
              </w:rPr>
              <w:t>2011</w:t>
            </w:r>
          </w:p>
        </w:tc>
        <w:tc>
          <w:tcPr>
            <w:tcW w:w="900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PBSC</w:t>
            </w:r>
          </w:p>
        </w:tc>
        <w:tc>
          <w:tcPr>
            <w:tcW w:w="4683" w:type="dxa"/>
            <w:gridSpan w:val="2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Cell doses and collection volume differed between harvest centre and transplant centre</w:t>
            </w:r>
          </w:p>
        </w:tc>
        <w:tc>
          <w:tcPr>
            <w:tcW w:w="1417" w:type="dxa"/>
            <w:vAlign w:val="bottom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Definitely not</w:t>
            </w:r>
          </w:p>
        </w:tc>
        <w:tc>
          <w:tcPr>
            <w:tcW w:w="1418" w:type="dxa"/>
            <w:vAlign w:val="center"/>
          </w:tcPr>
          <w:p w:rsidR="00CE16A9" w:rsidRDefault="00D57948">
            <w:pPr>
              <w:pStyle w:val="normal"/>
            </w:pPr>
            <w:r>
              <w:rPr>
                <w:rFonts w:ascii="Arial" w:eastAsia="Arial" w:hAnsi="Arial" w:cs="Arial"/>
                <w:sz w:val="20"/>
              </w:rPr>
              <w:t>Unlikely</w:t>
            </w:r>
          </w:p>
        </w:tc>
      </w:tr>
    </w:tbl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p w:rsidR="00CE16A9" w:rsidRDefault="00CE16A9">
      <w:pPr>
        <w:pStyle w:val="normal"/>
      </w:pPr>
    </w:p>
    <w:sectPr w:rsidR="00CE16A9" w:rsidSect="00CE16A9">
      <w:headerReference w:type="default" r:id="rId6"/>
      <w:footerReference w:type="default" r:id="rId7"/>
      <w:pgSz w:w="11906" w:h="16838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48" w:rsidRDefault="00D57948" w:rsidP="00CE16A9">
      <w:r>
        <w:separator/>
      </w:r>
    </w:p>
  </w:endnote>
  <w:endnote w:type="continuationSeparator" w:id="1">
    <w:p w:rsidR="00D57948" w:rsidRDefault="00D57948" w:rsidP="00CE1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A9" w:rsidRDefault="00CE16A9">
    <w:pPr>
      <w:pStyle w:val="normal"/>
      <w:tabs>
        <w:tab w:val="center" w:pos="4819"/>
        <w:tab w:val="right" w:pos="9638"/>
      </w:tabs>
      <w:jc w:val="right"/>
    </w:pPr>
    <w:fldSimple w:instr="PAGE">
      <w:r w:rsidR="0034458A">
        <w:rPr>
          <w:noProof/>
        </w:rPr>
        <w:t>1</w:t>
      </w:r>
    </w:fldSimple>
  </w:p>
  <w:p w:rsidR="00CE16A9" w:rsidRDefault="00CE16A9">
    <w:pPr>
      <w:pStyle w:val="normal"/>
      <w:tabs>
        <w:tab w:val="center" w:pos="4819"/>
        <w:tab w:val="right" w:pos="963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48" w:rsidRDefault="00D57948" w:rsidP="00CE16A9">
      <w:r>
        <w:separator/>
      </w:r>
    </w:p>
  </w:footnote>
  <w:footnote w:type="continuationSeparator" w:id="1">
    <w:p w:rsidR="00D57948" w:rsidRDefault="00D57948" w:rsidP="00CE1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A9" w:rsidRDefault="00CE16A9">
    <w:pPr>
      <w:pStyle w:val="normal"/>
      <w:widowControl w:val="0"/>
      <w:spacing w:line="276" w:lineRule="auto"/>
    </w:pPr>
  </w:p>
  <w:tbl>
    <w:tblPr>
      <w:tblStyle w:val="a1"/>
      <w:tblW w:w="9606" w:type="dxa"/>
      <w:tblInd w:w="-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268"/>
      <w:gridCol w:w="1819"/>
      <w:gridCol w:w="3118"/>
      <w:gridCol w:w="1842"/>
      <w:gridCol w:w="1559"/>
    </w:tblGrid>
    <w:tr w:rsidR="00CE16A9">
      <w:trPr>
        <w:trHeight w:val="380"/>
      </w:trPr>
      <w:tc>
        <w:tcPr>
          <w:tcW w:w="1268" w:type="dxa"/>
          <w:vMerge w:val="restart"/>
        </w:tcPr>
        <w:p w:rsidR="00CE16A9" w:rsidRDefault="00D57948">
          <w:pPr>
            <w:pStyle w:val="normal"/>
          </w:pPr>
          <w:r>
            <w:rPr>
              <w:noProof/>
            </w:rPr>
            <w:drawing>
              <wp:inline distT="0" distB="0" distL="114300" distR="114300">
                <wp:extent cx="715645" cy="971550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645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8" w:type="dxa"/>
          <w:gridSpan w:val="4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S(P)EAR Committee Annual Report - year 2011</w:t>
          </w:r>
        </w:p>
      </w:tc>
    </w:tr>
    <w:tr w:rsidR="00CE16A9">
      <w:trPr>
        <w:trHeight w:val="220"/>
      </w:trPr>
      <w:tc>
        <w:tcPr>
          <w:tcW w:w="1268" w:type="dxa"/>
          <w:vMerge/>
        </w:tcPr>
        <w:p w:rsidR="00CE16A9" w:rsidRDefault="00CE16A9">
          <w:pPr>
            <w:pStyle w:val="normal"/>
          </w:pPr>
        </w:p>
      </w:tc>
      <w:tc>
        <w:tcPr>
          <w:tcW w:w="1819" w:type="dxa"/>
          <w:shd w:val="clear" w:color="auto" w:fill="E6E6E6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Document Type:</w:t>
          </w:r>
        </w:p>
      </w:tc>
      <w:tc>
        <w:tcPr>
          <w:tcW w:w="3118" w:type="dxa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Annual Report</w:t>
          </w:r>
        </w:p>
      </w:tc>
      <w:tc>
        <w:tcPr>
          <w:tcW w:w="1842" w:type="dxa"/>
          <w:shd w:val="clear" w:color="auto" w:fill="E6E6E6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WG/Committee:</w:t>
          </w:r>
        </w:p>
      </w:tc>
      <w:tc>
        <w:tcPr>
          <w:tcW w:w="1559" w:type="dxa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SEAR</w:t>
          </w:r>
        </w:p>
      </w:tc>
    </w:tr>
    <w:tr w:rsidR="00CE16A9">
      <w:trPr>
        <w:trHeight w:val="220"/>
      </w:trPr>
      <w:tc>
        <w:tcPr>
          <w:tcW w:w="1268" w:type="dxa"/>
          <w:vMerge/>
        </w:tcPr>
        <w:p w:rsidR="00CE16A9" w:rsidRDefault="00CE16A9">
          <w:pPr>
            <w:pStyle w:val="normal"/>
          </w:pPr>
        </w:p>
      </w:tc>
      <w:tc>
        <w:tcPr>
          <w:tcW w:w="1819" w:type="dxa"/>
          <w:shd w:val="clear" w:color="auto" w:fill="E6E6E6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Document Reference:</w:t>
          </w:r>
        </w:p>
      </w:tc>
      <w:tc>
        <w:tcPr>
          <w:tcW w:w="3118" w:type="dxa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20120821-SEAR-Annual Report 2011</w:t>
          </w:r>
        </w:p>
      </w:tc>
      <w:tc>
        <w:tcPr>
          <w:tcW w:w="1842" w:type="dxa"/>
          <w:shd w:val="clear" w:color="auto" w:fill="E6E6E6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Other (specify):</w:t>
          </w:r>
        </w:p>
      </w:tc>
      <w:tc>
        <w:tcPr>
          <w:tcW w:w="1559" w:type="dxa"/>
        </w:tcPr>
        <w:p w:rsidR="00CE16A9" w:rsidRDefault="00CE16A9">
          <w:pPr>
            <w:pStyle w:val="normal"/>
          </w:pPr>
        </w:p>
      </w:tc>
    </w:tr>
    <w:tr w:rsidR="00CE16A9">
      <w:trPr>
        <w:trHeight w:val="220"/>
      </w:trPr>
      <w:tc>
        <w:tcPr>
          <w:tcW w:w="1268" w:type="dxa"/>
          <w:vMerge/>
        </w:tcPr>
        <w:p w:rsidR="00CE16A9" w:rsidRDefault="00CE16A9">
          <w:pPr>
            <w:pStyle w:val="normal"/>
          </w:pPr>
        </w:p>
      </w:tc>
      <w:tc>
        <w:tcPr>
          <w:tcW w:w="1819" w:type="dxa"/>
          <w:shd w:val="clear" w:color="auto" w:fill="E6E6E6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Version:</w:t>
          </w:r>
        </w:p>
      </w:tc>
      <w:tc>
        <w:tcPr>
          <w:tcW w:w="3118" w:type="dxa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2</w:t>
          </w:r>
        </w:p>
      </w:tc>
      <w:tc>
        <w:tcPr>
          <w:tcW w:w="1842" w:type="dxa"/>
          <w:shd w:val="clear" w:color="auto" w:fill="E6E6E6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Approved by:</w:t>
          </w:r>
        </w:p>
      </w:tc>
      <w:tc>
        <w:tcPr>
          <w:tcW w:w="1559" w:type="dxa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SEAR</w:t>
          </w:r>
        </w:p>
      </w:tc>
    </w:tr>
    <w:tr w:rsidR="00CE16A9">
      <w:trPr>
        <w:trHeight w:val="220"/>
      </w:trPr>
      <w:tc>
        <w:tcPr>
          <w:tcW w:w="1268" w:type="dxa"/>
          <w:vMerge/>
        </w:tcPr>
        <w:p w:rsidR="00CE16A9" w:rsidRDefault="00CE16A9">
          <w:pPr>
            <w:pStyle w:val="normal"/>
          </w:pPr>
        </w:p>
      </w:tc>
      <w:tc>
        <w:tcPr>
          <w:tcW w:w="1819" w:type="dxa"/>
          <w:shd w:val="clear" w:color="auto" w:fill="E6E6E6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Drafting Date:</w:t>
          </w:r>
        </w:p>
      </w:tc>
      <w:tc>
        <w:tcPr>
          <w:tcW w:w="3118" w:type="dxa"/>
        </w:tcPr>
        <w:p w:rsidR="00CE16A9" w:rsidRDefault="00CE16A9">
          <w:pPr>
            <w:pStyle w:val="normal"/>
          </w:pPr>
        </w:p>
      </w:tc>
      <w:tc>
        <w:tcPr>
          <w:tcW w:w="1842" w:type="dxa"/>
          <w:shd w:val="clear" w:color="auto" w:fill="E6E6E6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Approval date:</w:t>
          </w:r>
        </w:p>
      </w:tc>
      <w:tc>
        <w:tcPr>
          <w:tcW w:w="1559" w:type="dxa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20120821</w:t>
          </w:r>
        </w:p>
      </w:tc>
    </w:tr>
    <w:tr w:rsidR="00CE16A9">
      <w:trPr>
        <w:trHeight w:val="220"/>
      </w:trPr>
      <w:tc>
        <w:tcPr>
          <w:tcW w:w="1268" w:type="dxa"/>
          <w:vMerge/>
        </w:tcPr>
        <w:p w:rsidR="00CE16A9" w:rsidRDefault="00CE16A9">
          <w:pPr>
            <w:pStyle w:val="normal"/>
          </w:pPr>
        </w:p>
      </w:tc>
      <w:tc>
        <w:tcPr>
          <w:tcW w:w="1819" w:type="dxa"/>
          <w:shd w:val="clear" w:color="auto" w:fill="E6E6E6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Status</w:t>
          </w:r>
        </w:p>
      </w:tc>
      <w:tc>
        <w:tcPr>
          <w:tcW w:w="3118" w:type="dxa"/>
        </w:tcPr>
        <w:p w:rsidR="00CE16A9" w:rsidRDefault="00D57948">
          <w:pPr>
            <w:pStyle w:val="normal"/>
          </w:pPr>
          <w:r>
            <w:rPr>
              <w:rFonts w:ascii="Arial Narrow" w:eastAsia="Arial Narrow" w:hAnsi="Arial Narrow" w:cs="Arial Narrow"/>
              <w:sz w:val="20"/>
            </w:rPr>
            <w:t>Public</w:t>
          </w:r>
        </w:p>
      </w:tc>
      <w:tc>
        <w:tcPr>
          <w:tcW w:w="1842" w:type="dxa"/>
          <w:shd w:val="clear" w:color="auto" w:fill="E6E6E6"/>
        </w:tcPr>
        <w:p w:rsidR="00CE16A9" w:rsidRDefault="00CE16A9">
          <w:pPr>
            <w:pStyle w:val="normal"/>
          </w:pPr>
        </w:p>
      </w:tc>
      <w:tc>
        <w:tcPr>
          <w:tcW w:w="1559" w:type="dxa"/>
        </w:tcPr>
        <w:p w:rsidR="00CE16A9" w:rsidRDefault="00CE16A9">
          <w:pPr>
            <w:pStyle w:val="normal"/>
          </w:pPr>
        </w:p>
      </w:tc>
    </w:tr>
  </w:tbl>
  <w:p w:rsidR="00CE16A9" w:rsidRDefault="00CE16A9">
    <w:pPr>
      <w:pStyle w:val="normal"/>
      <w:tabs>
        <w:tab w:val="center" w:pos="4819"/>
        <w:tab w:val="right" w:pos="963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6A9"/>
    <w:rsid w:val="0034458A"/>
    <w:rsid w:val="00CE16A9"/>
    <w:rsid w:val="00D5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E16A9"/>
    <w:pPr>
      <w:keepNext/>
      <w:keepLines/>
      <w:spacing w:before="240" w:after="60"/>
      <w:ind w:left="432" w:hanging="432"/>
      <w:outlineLvl w:val="0"/>
    </w:pPr>
    <w:rPr>
      <w:rFonts w:ascii="Arial" w:eastAsia="Arial" w:hAnsi="Arial" w:cs="Arial"/>
      <w:b/>
      <w:sz w:val="32"/>
    </w:rPr>
  </w:style>
  <w:style w:type="paragraph" w:styleId="Titolo2">
    <w:name w:val="heading 2"/>
    <w:basedOn w:val="normal"/>
    <w:next w:val="normal"/>
    <w:rsid w:val="00CE16A9"/>
    <w:pPr>
      <w:keepNext/>
      <w:keepLines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</w:rPr>
  </w:style>
  <w:style w:type="paragraph" w:styleId="Titolo3">
    <w:name w:val="heading 3"/>
    <w:basedOn w:val="normal"/>
    <w:next w:val="normal"/>
    <w:rsid w:val="00CE16A9"/>
    <w:pPr>
      <w:keepNext/>
      <w:keepLines/>
      <w:spacing w:before="240" w:after="60"/>
      <w:ind w:left="720" w:hanging="720"/>
      <w:outlineLvl w:val="2"/>
    </w:pPr>
    <w:rPr>
      <w:rFonts w:ascii="Arial" w:eastAsia="Arial" w:hAnsi="Arial" w:cs="Arial"/>
      <w:b/>
      <w:sz w:val="26"/>
    </w:rPr>
  </w:style>
  <w:style w:type="paragraph" w:styleId="Titolo4">
    <w:name w:val="heading 4"/>
    <w:basedOn w:val="normal"/>
    <w:next w:val="normal"/>
    <w:rsid w:val="00CE16A9"/>
    <w:pPr>
      <w:keepNext/>
      <w:keepLines/>
      <w:ind w:left="864" w:hanging="864"/>
      <w:outlineLvl w:val="3"/>
    </w:pPr>
  </w:style>
  <w:style w:type="paragraph" w:styleId="Titolo5">
    <w:name w:val="heading 5"/>
    <w:basedOn w:val="normal"/>
    <w:next w:val="normal"/>
    <w:rsid w:val="00CE16A9"/>
    <w:pPr>
      <w:keepNext/>
      <w:keepLines/>
      <w:spacing w:before="240" w:after="60"/>
      <w:ind w:left="1008" w:hanging="1008"/>
      <w:outlineLvl w:val="4"/>
    </w:pPr>
    <w:rPr>
      <w:b/>
      <w:i/>
      <w:sz w:val="26"/>
    </w:rPr>
  </w:style>
  <w:style w:type="paragraph" w:styleId="Titolo6">
    <w:name w:val="heading 6"/>
    <w:basedOn w:val="normal"/>
    <w:next w:val="normal"/>
    <w:rsid w:val="00CE16A9"/>
    <w:pPr>
      <w:keepNext/>
      <w:keepLines/>
      <w:ind w:left="1152" w:hanging="1152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E16A9"/>
  </w:style>
  <w:style w:type="table" w:customStyle="1" w:styleId="TableNormal">
    <w:name w:val="Table Normal"/>
    <w:rsid w:val="00CE16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E16A9"/>
    <w:pPr>
      <w:keepNext/>
      <w:keepLines/>
      <w:jc w:val="center"/>
    </w:pPr>
    <w:rPr>
      <w:b/>
      <w:sz w:val="28"/>
    </w:rPr>
  </w:style>
  <w:style w:type="paragraph" w:styleId="Sottotitolo">
    <w:name w:val="Subtitle"/>
    <w:basedOn w:val="normal"/>
    <w:next w:val="normal"/>
    <w:rsid w:val="00CE16A9"/>
    <w:pPr>
      <w:keepNext/>
      <w:keepLines/>
      <w:spacing w:after="60"/>
      <w:jc w:val="center"/>
    </w:pPr>
    <w:rPr>
      <w:rFonts w:ascii="Calibri" w:eastAsia="Calibri" w:hAnsi="Calibri" w:cs="Calibri"/>
      <w:i/>
      <w:color w:val="666666"/>
    </w:rPr>
  </w:style>
  <w:style w:type="table" w:customStyle="1" w:styleId="a">
    <w:basedOn w:val="TableNormal"/>
    <w:rsid w:val="00CE16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E16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E16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5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3459</Words>
  <Characters>19721</Characters>
  <Application>Microsoft Office Word</Application>
  <DocSecurity>0</DocSecurity>
  <Lines>164</Lines>
  <Paragraphs>46</Paragraphs>
  <ScaleCrop>false</ScaleCrop>
  <Company/>
  <LinksUpToDate>false</LinksUpToDate>
  <CharactersWithSpaces>23134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evangelia.petrisli</cp:lastModifiedBy>
  <cp:revision>2</cp:revision>
  <dcterms:created xsi:type="dcterms:W3CDTF">2015-05-19T10:11:00Z</dcterms:created>
  <dcterms:modified xsi:type="dcterms:W3CDTF">2015-05-19T10:11:00Z</dcterms:modified>
</cp:coreProperties>
</file>